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0F9E75E6" w14:textId="77777777" w:rsidTr="00BF20DB">
        <w:trPr>
          <w:trHeight w:val="836"/>
        </w:trPr>
        <w:tc>
          <w:tcPr>
            <w:tcW w:w="3287" w:type="dxa"/>
          </w:tcPr>
          <w:p w14:paraId="71EE30EF" w14:textId="59E1E351" w:rsidR="00A3045D" w:rsidRDefault="001101C0" w:rsidP="003C7A81">
            <w:pPr>
              <w:jc w:val="center"/>
              <w:rPr>
                <w:b/>
              </w:rPr>
            </w:pPr>
            <w:r>
              <w:rPr>
                <w:noProof/>
                <w:lang w:eastAsia="en-GB"/>
              </w:rPr>
              <w:drawing>
                <wp:anchor distT="0" distB="0" distL="114300" distR="114300" simplePos="0" relativeHeight="251659264" behindDoc="0" locked="0" layoutInCell="1" allowOverlap="1" wp14:anchorId="51C68CD8" wp14:editId="1E30E9EB">
                  <wp:simplePos x="0" y="0"/>
                  <wp:positionH relativeFrom="column">
                    <wp:posOffset>-66675</wp:posOffset>
                  </wp:positionH>
                  <wp:positionV relativeFrom="paragraph">
                    <wp:posOffset>-281940</wp:posOffset>
                  </wp:positionV>
                  <wp:extent cx="1174115" cy="1162050"/>
                  <wp:effectExtent l="0" t="0" r="6985" b="0"/>
                  <wp:wrapNone/>
                  <wp:docPr id="2" name="Picture 2"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11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833EA" w14:textId="744017E7" w:rsidR="00A3045D" w:rsidRPr="00A3045D" w:rsidRDefault="00A3045D" w:rsidP="00A3045D"/>
          <w:p w14:paraId="564C71D9" w14:textId="77777777" w:rsidR="00A3045D" w:rsidRDefault="00A3045D" w:rsidP="00A3045D"/>
          <w:p w14:paraId="4DB86381" w14:textId="77777777" w:rsidR="003C7A81" w:rsidRPr="00A3045D" w:rsidRDefault="003C7A81" w:rsidP="00A3045D">
            <w:pPr>
              <w:ind w:firstLine="720"/>
            </w:pPr>
          </w:p>
        </w:tc>
        <w:tc>
          <w:tcPr>
            <w:tcW w:w="3514" w:type="dxa"/>
            <w:shd w:val="clear" w:color="auto" w:fill="auto"/>
          </w:tcPr>
          <w:p w14:paraId="35CE2541" w14:textId="77777777" w:rsidR="00ED2B60" w:rsidRDefault="00ED2B60" w:rsidP="00F724B2">
            <w:pPr>
              <w:jc w:val="center"/>
              <w:rPr>
                <w:b/>
                <w:noProof/>
                <w:lang w:eastAsia="en-GB"/>
              </w:rPr>
            </w:pPr>
          </w:p>
          <w:p w14:paraId="4077FCD7" w14:textId="77777777" w:rsidR="00BF20DB" w:rsidRDefault="00BF20DB" w:rsidP="00F724B2">
            <w:pPr>
              <w:jc w:val="center"/>
              <w:rPr>
                <w:b/>
                <w:noProof/>
                <w:lang w:eastAsia="en-GB"/>
              </w:rPr>
            </w:pP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403" w:type="dxa"/>
          </w:tcPr>
          <w:p w14:paraId="32D77B35" w14:textId="77777777"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4D1DC3A2"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2C0474CC"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1101C0">
              <w:rPr>
                <w:rFonts w:asciiTheme="minorHAnsi" w:hAnsiTheme="minorHAnsi" w:cstheme="minorHAnsi"/>
                <w:color w:val="231F20"/>
                <w:sz w:val="22"/>
                <w:szCs w:val="22"/>
              </w:rPr>
              <w:t xml:space="preserve">WAVERTREE CE SCHOOL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749CCC69"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1101C0">
              <w:rPr>
                <w:rFonts w:asciiTheme="minorHAnsi" w:hAnsiTheme="minorHAnsi" w:cstheme="minorHAnsi"/>
                <w:color w:val="231F20"/>
                <w:sz w:val="22"/>
                <w:szCs w:val="22"/>
              </w:rPr>
              <w:t>WAVERTREE CE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7909869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D7CA3FE" w14:textId="62762E0A"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1101C0">
              <w:rPr>
                <w:rFonts w:asciiTheme="minorHAnsi" w:hAnsiTheme="minorHAnsi" w:cstheme="minorHAnsi"/>
                <w:color w:val="231F20"/>
                <w:sz w:val="22"/>
                <w:szCs w:val="22"/>
              </w:rPr>
              <w:t>WAVERTREE CE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14:paraId="31AC4B60"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39D45E58"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23341FDA"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35DA410F"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001101C0">
              <w:rPr>
                <w:rFonts w:asciiTheme="minorHAnsi" w:hAnsiTheme="minorHAnsi" w:cstheme="minorHAnsi"/>
                <w:color w:val="231F20"/>
                <w:sz w:val="22"/>
                <w:szCs w:val="22"/>
              </w:rPr>
              <w:t xml:space="preserve"> WAVERTREE CE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0"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92CC730" w14:textId="35735D43" w:rsidR="00BD6A6A" w:rsidRPr="00BD6A6A" w:rsidRDefault="00BD6A6A" w:rsidP="00BD6A6A">
            <w:pPr>
              <w:pStyle w:val="1bodycopy"/>
              <w:rPr>
                <w:rFonts w:asciiTheme="minorHAnsi" w:hAnsiTheme="minorHAnsi" w:cstheme="minorHAnsi"/>
                <w:b/>
                <w:sz w:val="24"/>
                <w:u w:val="single"/>
                <w:lang w:val="en"/>
              </w:rPr>
            </w:pPr>
            <w:bookmarkStart w:id="0" w:name="_Hlk115362969"/>
            <w:r w:rsidRPr="00BD6A6A">
              <w:rPr>
                <w:rFonts w:asciiTheme="minorHAnsi" w:hAnsiTheme="minorHAnsi" w:cstheme="minorHAnsi"/>
                <w:b/>
                <w:sz w:val="24"/>
                <w:u w:val="single"/>
                <w:lang w:val="en"/>
              </w:rPr>
              <w:t xml:space="preserve">Online Search </w:t>
            </w:r>
          </w:p>
          <w:p w14:paraId="6F8A6079" w14:textId="14CED9D3"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0"/>
          <w:p w14:paraId="3BB571A9" w14:textId="77777777" w:rsidR="00BD6A6A" w:rsidRDefault="00BD6A6A" w:rsidP="000755A0">
            <w:pPr>
              <w:pStyle w:val="1bodycopy"/>
              <w:spacing w:after="0"/>
              <w:rPr>
                <w:rFonts w:asciiTheme="minorHAnsi" w:hAnsiTheme="minorHAnsi" w:cstheme="minorHAnsi"/>
                <w:color w:val="FF0000"/>
                <w:highlight w:val="yellow"/>
              </w:rPr>
            </w:pPr>
          </w:p>
          <w:p w14:paraId="6F3EC44C" w14:textId="77777777" w:rsidR="00FF04A7" w:rsidRPr="001101C0" w:rsidRDefault="00FF04A7" w:rsidP="000755A0">
            <w:pPr>
              <w:pStyle w:val="1bodycopy"/>
              <w:spacing w:after="0"/>
              <w:rPr>
                <w:rFonts w:asciiTheme="minorHAnsi" w:hAnsiTheme="minorHAnsi" w:cstheme="minorHAnsi"/>
                <w:b/>
                <w:sz w:val="24"/>
                <w:u w:val="single"/>
              </w:rPr>
            </w:pPr>
            <w:r w:rsidRPr="001101C0">
              <w:rPr>
                <w:rFonts w:asciiTheme="minorHAnsi" w:hAnsiTheme="minorHAnsi" w:cstheme="minorHAnsi"/>
                <w:b/>
                <w:sz w:val="24"/>
                <w:u w:val="single"/>
              </w:rPr>
              <w:t>Disqualification Under the Childcare Act</w:t>
            </w:r>
          </w:p>
          <w:p w14:paraId="2FB6EAAF" w14:textId="3DA43917" w:rsidR="001101C0" w:rsidRPr="001101C0" w:rsidRDefault="00926195" w:rsidP="001101C0">
            <w:pPr>
              <w:pStyle w:val="1bodycopy"/>
              <w:spacing w:before="120" w:after="0"/>
              <w:rPr>
                <w:rFonts w:asciiTheme="minorHAnsi" w:hAnsiTheme="minorHAnsi" w:cstheme="minorHAnsi"/>
                <w:color w:val="0000FF"/>
              </w:rPr>
            </w:pPr>
            <w:r w:rsidRPr="001101C0">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FFA3A87" w14:textId="77777777" w:rsidR="001101C0" w:rsidRPr="000755A0" w:rsidRDefault="001101C0" w:rsidP="001101C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lastRenderedPageBreak/>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E22EBF" w:rsidP="00926195">
            <w:pPr>
              <w:spacing w:before="120" w:line="240" w:lineRule="auto"/>
              <w:rPr>
                <w:b/>
              </w:rPr>
            </w:pPr>
            <w:hyperlink r:id="rId16" w:history="1">
              <w:r w:rsidR="00180988" w:rsidRPr="002A321F">
                <w:rPr>
                  <w:rStyle w:val="Hyperlink"/>
                  <w:b/>
                </w:rPr>
                <w:t>https://www.gov.uk/government/collections/teacher-misconduct</w:t>
              </w:r>
            </w:hyperlink>
            <w:r w:rsidR="00180988" w:rsidRPr="002A321F">
              <w:rPr>
                <w:b/>
              </w:rPr>
              <w:t xml:space="preserve"> </w:t>
            </w:r>
          </w:p>
          <w:p w14:paraId="14F142C9" w14:textId="566BF4F3" w:rsidR="000755A0" w:rsidRDefault="00926195" w:rsidP="001101C0">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6A0F5C2" w14:textId="77777777" w:rsidR="001101C0" w:rsidRPr="001101C0" w:rsidRDefault="001101C0" w:rsidP="001101C0">
            <w:pPr>
              <w:pStyle w:val="1bodycopy"/>
              <w:spacing w:before="120" w:after="0"/>
              <w:rPr>
                <w:rFonts w:asciiTheme="minorHAnsi" w:hAnsiTheme="minorHAnsi" w:cstheme="minorHAnsi"/>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7480F9B5" w:rsidR="00943061" w:rsidRPr="00943061" w:rsidRDefault="00BF20DB">
            <w:pPr>
              <w:rPr>
                <w:b/>
                <w:color w:val="FF0000"/>
              </w:rPr>
            </w:pPr>
            <w:r>
              <w:rPr>
                <w:b/>
              </w:rPr>
              <w:br w:type="page"/>
            </w:r>
            <w:r w:rsidR="005E26D5">
              <w:rPr>
                <w:noProof/>
                <w:lang w:eastAsia="en-GB"/>
              </w:rPr>
              <w:drawing>
                <wp:anchor distT="0" distB="0" distL="114300" distR="114300" simplePos="0" relativeHeight="251661312" behindDoc="0" locked="0" layoutInCell="1" allowOverlap="1" wp14:anchorId="12F89928" wp14:editId="66184582">
                  <wp:simplePos x="0" y="0"/>
                  <wp:positionH relativeFrom="column">
                    <wp:posOffset>0</wp:posOffset>
                  </wp:positionH>
                  <wp:positionV relativeFrom="paragraph">
                    <wp:posOffset>4445</wp:posOffset>
                  </wp:positionV>
                  <wp:extent cx="1174115" cy="1162050"/>
                  <wp:effectExtent l="0" t="0" r="6985" b="0"/>
                  <wp:wrapNone/>
                  <wp:docPr id="1" name="Picture 1" descr="SCHOOL LOGO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11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4" w:type="dxa"/>
            <w:gridSpan w:val="3"/>
          </w:tcPr>
          <w:p w14:paraId="7233A376" w14:textId="77777777" w:rsidR="00BF20DB" w:rsidRDefault="00BF20DB">
            <w:pPr>
              <w:rPr>
                <w:b/>
              </w:rPr>
            </w:pPr>
          </w:p>
          <w:p w14:paraId="4212C806" w14:textId="77777777"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77777777"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rsidP="00B7460B">
            <w:pPr>
              <w:rPr>
                <w:b/>
              </w:rPr>
            </w:pPr>
            <w:r>
              <w:rPr>
                <w:b/>
                <w:sz w:val="32"/>
              </w:rPr>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9F7A4FA"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8"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55C56067" w:rsidR="006A3EF1" w:rsidRDefault="000B1261" w:rsidP="00ED2B60">
            <w:pPr>
              <w:jc w:val="center"/>
              <w:rPr>
                <w:b/>
                <w:color w:val="FF0000"/>
              </w:rPr>
            </w:pPr>
            <w:r>
              <w:rPr>
                <w:b/>
              </w:rPr>
              <w:t>Please return to us via</w:t>
            </w:r>
            <w:r w:rsidR="005E26D5">
              <w:rPr>
                <w:b/>
              </w:rPr>
              <w:t xml:space="preserve"> email at</w:t>
            </w:r>
            <w:bookmarkStart w:id="1" w:name="_GoBack"/>
            <w:bookmarkEnd w:id="1"/>
            <w:r>
              <w:rPr>
                <w:b/>
              </w:rPr>
              <w:t xml:space="preserve"> </w:t>
            </w:r>
            <w:r w:rsidR="005E26D5">
              <w:rPr>
                <w:b/>
              </w:rPr>
              <w:t>wavertree-ao@wavertree.liverpool.sch.uk</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6F530" w14:textId="77777777" w:rsidR="002F6E87" w:rsidRDefault="002F6E87" w:rsidP="000F15D7">
      <w:pPr>
        <w:spacing w:line="240" w:lineRule="auto"/>
      </w:pPr>
      <w:r>
        <w:separator/>
      </w:r>
    </w:p>
  </w:endnote>
  <w:endnote w:type="continuationSeparator" w:id="0">
    <w:p w14:paraId="6FCF2CF1" w14:textId="77777777"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4AC91E1E"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ADBC3" w14:textId="77777777" w:rsidR="002F6E87" w:rsidRDefault="002F6E87" w:rsidP="000F15D7">
      <w:pPr>
        <w:spacing w:line="240" w:lineRule="auto"/>
      </w:pPr>
      <w:r>
        <w:separator/>
      </w:r>
    </w:p>
  </w:footnote>
  <w:footnote w:type="continuationSeparator" w:id="0">
    <w:p w14:paraId="7A0E3EC7" w14:textId="77777777"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101C0"/>
    <w:rsid w:val="00140A3E"/>
    <w:rsid w:val="0014529D"/>
    <w:rsid w:val="00180988"/>
    <w:rsid w:val="00197F9D"/>
    <w:rsid w:val="001A2C3C"/>
    <w:rsid w:val="001D1AA5"/>
    <w:rsid w:val="001E52ED"/>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31B0C"/>
    <w:rsid w:val="004432A0"/>
    <w:rsid w:val="00464306"/>
    <w:rsid w:val="00465938"/>
    <w:rsid w:val="004C106C"/>
    <w:rsid w:val="004E5320"/>
    <w:rsid w:val="00511EBF"/>
    <w:rsid w:val="00527E33"/>
    <w:rsid w:val="00562CA8"/>
    <w:rsid w:val="00585AE8"/>
    <w:rsid w:val="005B1A0B"/>
    <w:rsid w:val="005D08B1"/>
    <w:rsid w:val="005E26D5"/>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7460B"/>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ro.org.uk/criminal-record-support-service/" TargetMode="External"/><Relationship Id="rId18"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hub.unlock.org.uk/contac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AC84-1EBB-4403-9543-4E2721236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Colette Lynch</cp:lastModifiedBy>
  <cp:revision>2</cp:revision>
  <cp:lastPrinted>2019-08-21T13:58:00Z</cp:lastPrinted>
  <dcterms:created xsi:type="dcterms:W3CDTF">2023-05-03T12:44:00Z</dcterms:created>
  <dcterms:modified xsi:type="dcterms:W3CDTF">2023-05-03T12:44:00Z</dcterms:modified>
</cp:coreProperties>
</file>